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Century Gothic" w:cs="Century Gothic" w:eastAsia="Century Gothic" w:hAnsi="Century Gothic"/>
          <w:b w:val="1"/>
          <w:sz w:val="48"/>
          <w:szCs w:val="4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48"/>
          <w:szCs w:val="48"/>
          <w:rtl w:val="0"/>
        </w:rPr>
        <w:t xml:space="preserve">MUNICIPALIDAD DE SAN LUCAS SACATEPÉQUEZ, SACATEPÉQUEZ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b="0" l="0" r="0" t="0"/>
            <wp:wrapNone/>
            <wp:docPr id="181297366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tblW w:w="1374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656"/>
        <w:gridCol w:w="8"/>
        <w:gridCol w:w="1867"/>
        <w:gridCol w:w="3702"/>
        <w:gridCol w:w="2252"/>
        <w:gridCol w:w="3260"/>
        <w:tblGridChange w:id="0">
          <w:tblGrid>
            <w:gridCol w:w="2656"/>
            <w:gridCol w:w="8"/>
            <w:gridCol w:w="1867"/>
            <w:gridCol w:w="3702"/>
            <w:gridCol w:w="2252"/>
            <w:gridCol w:w="3260"/>
          </w:tblGrid>
        </w:tblGridChange>
      </w:tblGrid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Proceso: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Presupuesto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Identificación:</w:t>
            </w:r>
          </w:p>
        </w:tc>
        <w:tc>
          <w:tcPr/>
          <w:p w:rsidR="00000000" w:rsidDel="00000000" w:rsidP="00000000" w:rsidRDefault="00000000" w:rsidRPr="00000000" w14:paraId="00000007">
            <w:pPr>
              <w:jc w:val="center"/>
              <w:rPr>
                <w:rFonts w:ascii="Century Gothic" w:cs="Century Gothic" w:eastAsia="Century Gothic" w:hAnsi="Century Gothic"/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PR-MSL-DAFIM-DT-UP-OC-02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99cc00" w:val="clear"/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Procedimiento: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0A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Orden de Compra</w:t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0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Versión:</w:t>
            </w:r>
          </w:p>
        </w:tc>
        <w:tc>
          <w:tcPr/>
          <w:p w:rsidR="00000000" w:rsidDel="00000000" w:rsidP="00000000" w:rsidRDefault="00000000" w:rsidRPr="00000000" w14:paraId="0000000D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Dirección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Departamento</w:t>
            </w:r>
          </w:p>
        </w:tc>
        <w:tc>
          <w:tcPr>
            <w:gridSpan w:val="2"/>
            <w:shd w:fill="99cc00" w:val="clea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Unidad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auto" w:val="clear"/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Administración Financiera Integrada Municipal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Tesorería</w:t>
            </w:r>
          </w:p>
        </w:tc>
        <w:tc>
          <w:tcPr>
            <w:gridSpan w:val="2"/>
            <w:shd w:fill="auto" w:val="clea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Presupuesto </w:t>
            </w:r>
          </w:p>
        </w:tc>
      </w:tr>
      <w:tr>
        <w:trPr>
          <w:cantSplit w:val="0"/>
          <w:trHeight w:val="68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A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Nombre Completo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Firma</w:t>
            </w:r>
          </w:p>
        </w:tc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Elaboración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0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Elaborado por: 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21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Teodoro Chigüichon Sian/Bryan Alexander Baltazar Pérez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4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09 de abril de 2025</w:t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6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27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Coordinador Presupuesto/ Auxiliar de Presupuesto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1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2C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2D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0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Revisado</w:t>
            </w:r>
          </w:p>
        </w:tc>
      </w:tr>
      <w:tr>
        <w:trPr>
          <w:cantSplit w:val="0"/>
          <w:trHeight w:val="574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2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Revisado por: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33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Licenciado Kelly Edenylson Rosales Saravia 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6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9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8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39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Director de la Dirección de Administración Financiera Integrada Municipal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5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3E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shd w:fill="99cc00" w:val="clear"/>
          </w:tcPr>
          <w:p w:rsidR="00000000" w:rsidDel="00000000" w:rsidP="00000000" w:rsidRDefault="00000000" w:rsidRPr="00000000" w14:paraId="0000003F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2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99cc00" w:val="clear"/>
          </w:tcPr>
          <w:p w:rsidR="00000000" w:rsidDel="00000000" w:rsidP="00000000" w:rsidRDefault="00000000" w:rsidRPr="00000000" w14:paraId="00000043">
            <w:pPr>
              <w:jc w:val="center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Fecha de Aprobación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4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Aprobado por: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5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Lic. Yener Haroldo Plaza Natareno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8">
            <w:pPr>
              <w:rPr>
                <w:rFonts w:ascii="Century Gothic" w:cs="Century Gothic" w:eastAsia="Century Gothic" w:hAnsi="Century Gothic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49">
            <w:pPr>
              <w:jc w:val="center"/>
              <w:rPr>
                <w:rFonts w:ascii="Century Gothic" w:cs="Century Gothic" w:eastAsia="Century Gothic" w:hAnsi="Century Gothic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7" w:hRule="atLeast"/>
          <w:tblHeader w:val="0"/>
        </w:trPr>
        <w:tc>
          <w:tcPr>
            <w:shd w:fill="99cc00" w:val="clear"/>
            <w:vAlign w:val="center"/>
          </w:tcPr>
          <w:p w:rsidR="00000000" w:rsidDel="00000000" w:rsidP="00000000" w:rsidRDefault="00000000" w:rsidRPr="00000000" w14:paraId="0000004A">
            <w:pPr>
              <w:rPr>
                <w:rFonts w:ascii="Century Gothic" w:cs="Century Gothic" w:eastAsia="Century Gothic" w:hAnsi="Century Gothic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rtl w:val="0"/>
              </w:rPr>
              <w:t xml:space="preserve">Puesto:</w:t>
            </w:r>
          </w:p>
        </w:tc>
        <w:tc>
          <w:tcPr>
            <w:gridSpan w:val="3"/>
          </w:tcPr>
          <w:p w:rsidR="00000000" w:rsidDel="00000000" w:rsidP="00000000" w:rsidRDefault="00000000" w:rsidRPr="00000000" w14:paraId="0000004B">
            <w:pPr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rtl w:val="0"/>
              </w:rPr>
              <w:t xml:space="preserve">Alcalde Municipal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  <w:b w:val="1"/>
                <w:sz w:val="48"/>
                <w:szCs w:val="4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0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Objetivo</w:t>
      </w:r>
    </w:p>
    <w:p w:rsidR="00000000" w:rsidDel="00000000" w:rsidP="00000000" w:rsidRDefault="00000000" w:rsidRPr="00000000" w14:paraId="00000051">
      <w:pPr>
        <w:jc w:val="both"/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Fonts w:ascii="Century Gothic" w:cs="Century Gothic" w:eastAsia="Century Gothic" w:hAnsi="Century Gothic"/>
          <w:sz w:val="24"/>
          <w:szCs w:val="24"/>
          <w:rtl w:val="0"/>
        </w:rPr>
        <w:t xml:space="preserve">El procedimiento de registro, y aprobación de una orden de compra en el Sistema de Contabilidad Integrado para Gobiernos Locales -SICOIN GL-, tiene como objeto cumplir con las normas establecidas por el Ministerio de Finanzas Públicas, reconociendo que los bienes o suministros tienen su clasificación presupuestaria por el tipo de gastos que se derivan y están establecidas en los estándares legales para cumplir con lo establecido en los preceptos legales. </w:t>
      </w:r>
    </w:p>
    <w:p w:rsidR="00000000" w:rsidDel="00000000" w:rsidP="00000000" w:rsidRDefault="00000000" w:rsidRPr="00000000" w14:paraId="00000052">
      <w:pPr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Marco Legal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Constitución Política de la República de Guatemala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Código Municipal, Decreto 12-2012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Orgánica del Presupuesto Decreto 101-97</w: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Ley de Contrataciones del Estado</w:t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Reglamento Interno de Personal Municipal de la Municipalidad de San Lucas Sacatepéquez</w:t>
      </w:r>
    </w:p>
    <w:p w:rsidR="00000000" w:rsidDel="00000000" w:rsidP="00000000" w:rsidRDefault="00000000" w:rsidRPr="00000000" w14:paraId="00000059">
      <w:pPr>
        <w:rPr>
          <w:rFonts w:ascii="Century Gothic" w:cs="Century Gothic" w:eastAsia="Century Gothic" w:hAnsi="Century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Normas de Aplicación Interna</w:t>
      </w:r>
    </w:p>
    <w:p w:rsidR="00000000" w:rsidDel="00000000" w:rsidP="00000000" w:rsidRDefault="00000000" w:rsidRPr="00000000" w14:paraId="0000005C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Usuarios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Personal del Departamento de Compras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>
          <w:rFonts w:ascii="Century Gothic" w:cs="Century Gothic" w:eastAsia="Century Gothic" w:hAnsi="Century Gothic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Personal de la Dirección Municipal de Administración Financiera Integrada Municipal (área de Presupuesto)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Narrativa </w:t>
      </w:r>
    </w:p>
    <w:tbl>
      <w:tblPr>
        <w:tblStyle w:val="Table2"/>
        <w:tblW w:w="1374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271"/>
        <w:gridCol w:w="8647"/>
        <w:gridCol w:w="3822"/>
        <w:tblGridChange w:id="0">
          <w:tblGrid>
            <w:gridCol w:w="1271"/>
            <w:gridCol w:w="8647"/>
            <w:gridCol w:w="3822"/>
          </w:tblGrid>
        </w:tblGridChange>
      </w:tblGrid>
      <w:tr>
        <w:trPr>
          <w:cantSplit w:val="0"/>
          <w:tblHeader w:val="0"/>
        </w:trPr>
        <w:tc>
          <w:tcPr>
            <w:shd w:fill="92d050" w:val="clear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No.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Actividad</w:t>
            </w:r>
          </w:p>
        </w:tc>
        <w:tc>
          <w:tcPr>
            <w:shd w:fill="92d050" w:val="clea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Century Gothic" w:cs="Century Gothic" w:eastAsia="Century Gothic" w:hAnsi="Century Gothic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4"/>
                <w:szCs w:val="24"/>
                <w:rtl w:val="0"/>
              </w:rPr>
              <w:t xml:space="preserve">Responsable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1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4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Trasladar al área de Presupuesto los diversos expedientes de compra, los cuales deben cumplir con toda la documentación que valide el proceso de pago.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Departamento de Compras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2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7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Recibir cada expediente y vela que satisfaga todos los estándares de cumplimiento externo como interno.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Encargados del área de presupuesto.</w:t>
            </w:r>
          </w:p>
          <w:p w:rsidR="00000000" w:rsidDel="00000000" w:rsidP="00000000" w:rsidRDefault="00000000" w:rsidRPr="00000000" w14:paraId="00000069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3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B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Proceder a su registro dentro del Sistema de Contabilidad Integrada para Gobiernos Locales -SICOIN GL- establecido por el Ministerio de Finanzas Públicas  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D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4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6E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Revisar cada expediente por esta modalidad de pago que se debe regir a lo establecido en la ley, así como velar que sean aplicables los renglones presupuestarios 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5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1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Trasladar para realizar la revisión de que el expediente esté correctamente registrado. </w:t>
            </w:r>
          </w:p>
        </w:tc>
        <w:tc>
          <w:tcPr>
            <w:vMerge w:val="restart"/>
            <w:tcBorders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Coordinación de Contabilidad,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3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6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4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Realizar la verificación y trasladarla nuevamente a presupuesto</w:t>
            </w:r>
          </w:p>
        </w:tc>
        <w:tc>
          <w:tcPr>
            <w:vMerge w:val="continue"/>
            <w:tcBorders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6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7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7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Gestionar el proceso de “aprobación de la creación”, la “aprobación presupuestaria” y por último la “recepción de bienes y servicios” por cada expediente recibido.</w:t>
            </w:r>
          </w:p>
        </w:tc>
        <w:tc>
          <w:tcPr>
            <w:vMerge w:val="restart"/>
            <w:tcBorders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8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Encargados del área de presupuesto.</w:t>
            </w:r>
          </w:p>
          <w:p w:rsidR="00000000" w:rsidDel="00000000" w:rsidP="00000000" w:rsidRDefault="00000000" w:rsidRPr="00000000" w14:paraId="00000079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8</w:t>
            </w:r>
          </w:p>
        </w:tc>
        <w:tc>
          <w:tcPr>
            <w:tcBorders>
              <w:right w:color="000000" w:space="0" w:sz="4" w:val="single"/>
            </w:tcBorders>
          </w:tcPr>
          <w:p w:rsidR="00000000" w:rsidDel="00000000" w:rsidP="00000000" w:rsidRDefault="00000000" w:rsidRPr="00000000" w14:paraId="0000007B">
            <w:pPr>
              <w:jc w:val="both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rtl w:val="0"/>
              </w:rPr>
              <w:t xml:space="preserve">Trasladar los expedientes en estado “aprobado” a Tesorería para su gestión de pago total. </w:t>
            </w:r>
          </w:p>
        </w:tc>
        <w:tc>
          <w:tcPr>
            <w:vMerge w:val="continue"/>
            <w:tcBorders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Diagrama</w:t>
      </w:r>
    </w:p>
    <w:p w:rsidR="00000000" w:rsidDel="00000000" w:rsidP="00000000" w:rsidRDefault="00000000" w:rsidRPr="00000000" w14:paraId="00000085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r w:rsidDel="00000000" w:rsidR="00000000" w:rsidRPr="00000000">
        <w:rPr/>
        <w:drawing>
          <wp:inline distB="0" distT="0" distL="0" distR="0">
            <wp:extent cx="6390640" cy="4248166"/>
            <wp:effectExtent b="0" l="0" r="0" t="0"/>
            <wp:docPr id="181297366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1362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2481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tabs>
          <w:tab w:val="left" w:leader="none" w:pos="6195"/>
        </w:tabs>
        <w:rPr>
          <w:rFonts w:ascii="Century Gothic" w:cs="Century Gothic" w:eastAsia="Century Gothic" w:hAnsi="Century Gothic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center"/>
        <w:rPr>
          <w:rFonts w:ascii="Century Gothic" w:cs="Century Gothic" w:eastAsia="Century Gothic" w:hAnsi="Century Gothic"/>
          <w:b w:val="1"/>
          <w:sz w:val="36"/>
          <w:szCs w:val="36"/>
        </w:rPr>
      </w:pPr>
      <w:bookmarkStart w:colFirst="0" w:colLast="0" w:name="_heading=h.nm8ifopbyq8t" w:id="0"/>
      <w:bookmarkEnd w:id="0"/>
      <w:r w:rsidDel="00000000" w:rsidR="00000000" w:rsidRPr="00000000">
        <w:rPr>
          <w:rFonts w:ascii="Century Gothic" w:cs="Century Gothic" w:eastAsia="Century Gothic" w:hAnsi="Century Gothic"/>
          <w:b w:val="1"/>
          <w:sz w:val="36"/>
          <w:szCs w:val="36"/>
          <w:rtl w:val="0"/>
        </w:rPr>
        <w:t xml:space="preserve">Tabla de Anexos</w:t>
      </w:r>
    </w:p>
    <w:tbl>
      <w:tblPr>
        <w:tblStyle w:val="Table3"/>
        <w:tblW w:w="1356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74"/>
        <w:gridCol w:w="11891"/>
        <w:tblGridChange w:id="0">
          <w:tblGrid>
            <w:gridCol w:w="1674"/>
            <w:gridCol w:w="11891"/>
          </w:tblGrid>
        </w:tblGridChange>
      </w:tblGrid>
      <w:tr>
        <w:trPr>
          <w:cantSplit w:val="0"/>
          <w:trHeight w:val="470" w:hRule="atLeast"/>
          <w:tblHeader w:val="0"/>
        </w:trPr>
        <w:tc>
          <w:tcPr/>
          <w:p w:rsidR="00000000" w:rsidDel="00000000" w:rsidP="00000000" w:rsidRDefault="00000000" w:rsidRPr="00000000" w14:paraId="00000088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No.</w:t>
            </w:r>
          </w:p>
        </w:tc>
        <w:tc>
          <w:tcPr/>
          <w:p w:rsidR="00000000" w:rsidDel="00000000" w:rsidP="00000000" w:rsidRDefault="00000000" w:rsidRPr="00000000" w14:paraId="00000089">
            <w:pPr>
              <w:jc w:val="center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Anexo</w:t>
            </w:r>
          </w:p>
        </w:tc>
      </w:tr>
      <w:tr>
        <w:trPr>
          <w:cantSplit w:val="0"/>
          <w:trHeight w:val="399" w:hRule="atLeast"/>
          <w:tblHeader w:val="0"/>
        </w:trPr>
        <w:tc>
          <w:tcPr/>
          <w:p w:rsidR="00000000" w:rsidDel="00000000" w:rsidP="00000000" w:rsidRDefault="00000000" w:rsidRPr="00000000" w14:paraId="0000008A">
            <w:pPr>
              <w:jc w:val="center"/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B">
            <w:pPr>
              <w:rPr>
                <w:rFonts w:ascii="Century Gothic" w:cs="Century Gothic" w:eastAsia="Century Gothic" w:hAnsi="Century Gothic"/>
                <w:sz w:val="24"/>
                <w:szCs w:val="24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4"/>
                <w:szCs w:val="24"/>
                <w:rtl w:val="0"/>
              </w:rPr>
              <w:t xml:space="preserve">Orden compra</w:t>
            </w:r>
          </w:p>
        </w:tc>
      </w:tr>
    </w:tbl>
    <w:p w:rsidR="00000000" w:rsidDel="00000000" w:rsidP="00000000" w:rsidRDefault="00000000" w:rsidRPr="00000000" w14:paraId="0000008C">
      <w:pPr>
        <w:rPr>
          <w:rFonts w:ascii="Century Gothic" w:cs="Century Gothic" w:eastAsia="Century Gothic" w:hAnsi="Century Gothic"/>
          <w:sz w:val="20"/>
          <w:szCs w:val="20"/>
        </w:rPr>
      </w:pPr>
      <w:r w:rsidDel="00000000" w:rsidR="00000000" w:rsidRPr="00000000">
        <w:rPr>
          <w:rFonts w:ascii="Century Gothic" w:cs="Century Gothic" w:eastAsia="Century Gothic" w:hAnsi="Century Gothic"/>
          <w:sz w:val="20"/>
          <w:szCs w:val="20"/>
          <w:rtl w:val="0"/>
        </w:rPr>
        <w:t xml:space="preserve">Anexo 1 Orden de Compra</w:t>
      </w:r>
    </w:p>
    <w:p w:rsidR="00000000" w:rsidDel="00000000" w:rsidP="00000000" w:rsidRDefault="00000000" w:rsidRPr="00000000" w14:paraId="0000008D">
      <w:pPr>
        <w:rPr>
          <w:rFonts w:ascii="Century Gothic" w:cs="Century Gothic" w:eastAsia="Century Gothic" w:hAnsi="Century Gothic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2650490</wp:posOffset>
            </wp:positionH>
            <wp:positionV relativeFrom="paragraph">
              <wp:posOffset>102235</wp:posOffset>
            </wp:positionV>
            <wp:extent cx="2493328" cy="2938565"/>
            <wp:effectExtent b="0" l="0" r="0" t="0"/>
            <wp:wrapSquare wrapText="bothSides" distB="0" distT="0" distL="114300" distR="114300"/>
            <wp:docPr id="181297366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93328" cy="29385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E">
      <w:pPr>
        <w:rPr>
          <w:rFonts w:ascii="Century Gothic" w:cs="Century Gothic" w:eastAsia="Century Gothic" w:hAnsi="Century Gothic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10" w:type="default"/>
      <w:footerReference r:id="rId11" w:type="default"/>
      <w:footerReference r:id="rId12" w:type="first"/>
      <w:pgSz w:h="12240" w:w="15840" w:orient="landscape"/>
      <w:pgMar w:bottom="1440" w:top="1440" w:left="851" w:right="1239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A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right"/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Página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Century Gothic" w:cs="Century Gothic" w:eastAsia="Century Gothic" w:hAnsi="Century Gothic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de </w:t>
    </w:r>
    <w:r w:rsidDel="00000000" w:rsidR="00000000" w:rsidRPr="00000000">
      <w:rPr>
        <w:rFonts w:ascii="Century Gothic" w:cs="Century Gothic" w:eastAsia="Century Gothic" w:hAnsi="Century Gothic"/>
        <w:b w:val="1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F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entury Gothic" w:cs="Century Gothic" w:eastAsia="Century Gothic" w:hAnsi="Century Gothic"/>
        <w:b w:val="1"/>
        <w:sz w:val="20"/>
        <w:szCs w:val="20"/>
      </w:rPr>
    </w:pPr>
    <w:r w:rsidDel="00000000" w:rsidR="00000000" w:rsidRPr="00000000">
      <w:rPr>
        <w:rtl w:val="0"/>
      </w:rPr>
    </w:r>
  </w:p>
  <w:tbl>
    <w:tblPr>
      <w:tblStyle w:val="Table4"/>
      <w:tblW w:w="13591.0" w:type="dxa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400"/>
    </w:tblPr>
    <w:tblGrid>
      <w:gridCol w:w="3220"/>
      <w:gridCol w:w="7468"/>
      <w:gridCol w:w="2903"/>
      <w:tblGridChange w:id="0">
        <w:tblGrid>
          <w:gridCol w:w="3220"/>
          <w:gridCol w:w="7468"/>
          <w:gridCol w:w="2903"/>
        </w:tblGrid>
      </w:tblGridChange>
    </w:tblGrid>
    <w:tr>
      <w:trPr>
        <w:cantSplit w:val="0"/>
        <w:trHeight w:val="424" w:hRule="atLeast"/>
        <w:tblHeader w:val="0"/>
      </w:trPr>
      <w:tc>
        <w:tcPr>
          <w:vMerge w:val="restart"/>
        </w:tcPr>
        <w:p w:rsidR="00000000" w:rsidDel="00000000" w:rsidP="00000000" w:rsidRDefault="00000000" w:rsidRPr="00000000" w14:paraId="0000009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b="0" l="0" r="0" t="0"/>
                <wp:wrapNone/>
                <wp:docPr id="1812973669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vMerge w:val="restart"/>
        </w:tcPr>
        <w:p w:rsidR="00000000" w:rsidDel="00000000" w:rsidP="00000000" w:rsidRDefault="00000000" w:rsidRPr="00000000" w14:paraId="00000091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92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9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Procedimiento Orden de Compra</w:t>
          </w: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Identificación: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5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</w:tcPr>
        <w:p w:rsidR="00000000" w:rsidDel="00000000" w:rsidP="00000000" w:rsidRDefault="00000000" w:rsidRPr="00000000" w14:paraId="0000009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7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PR-MSL-DAFIM-T-UP-OC-02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24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8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</w:tcPr>
        <w:p w:rsidR="00000000" w:rsidDel="00000000" w:rsidP="00000000" w:rsidRDefault="00000000" w:rsidRPr="00000000" w14:paraId="00000099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Versión</w:t>
          </w:r>
        </w:p>
      </w:tc>
    </w:tr>
    <w:tr>
      <w:trPr>
        <w:cantSplit w:val="0"/>
        <w:trHeight w:val="423" w:hRule="atLeast"/>
        <w:tblHeader w:val="0"/>
      </w:trPr>
      <w:tc>
        <w:tcPr>
          <w:vMerge w:val="continue"/>
        </w:tcPr>
        <w:p w:rsidR="00000000" w:rsidDel="00000000" w:rsidP="00000000" w:rsidRDefault="00000000" w:rsidRPr="00000000" w14:paraId="0000009B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</w:tcPr>
        <w:p w:rsidR="00000000" w:rsidDel="00000000" w:rsidP="00000000" w:rsidRDefault="00000000" w:rsidRPr="00000000" w14:paraId="0000009C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09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entury Gothic" w:cs="Century Gothic" w:eastAsia="Century Gothic" w:hAnsi="Century Gothic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</w:t>
          </w:r>
        </w:p>
      </w:tc>
    </w:tr>
  </w:tbl>
  <w:p w:rsidR="00000000" w:rsidDel="00000000" w:rsidP="00000000" w:rsidRDefault="00000000" w:rsidRPr="00000000" w14:paraId="0000009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2"/>
        <w:szCs w:val="22"/>
        <w:lang w:val="es-G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4A77F7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4A77F7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4A77F7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4A77F7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4A77F7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4A77F7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4A77F7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4A77F7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4A77F7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4A77F7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4A77F7"/>
    <w:rPr>
      <w:rFonts w:cstheme="majorBidi" w:eastAsiaTheme="majorEastAsia"/>
      <w:color w:val="272727" w:themeColor="text1" w:themeTint="0000D8"/>
    </w:rPr>
  </w:style>
  <w:style w:type="character" w:styleId="TitleChar" w:customStyle="1">
    <w:name w:val="Title Char"/>
    <w:basedOn w:val="DefaultParagraphFont"/>
    <w:link w:val="Title"/>
    <w:uiPriority w:val="10"/>
    <w:rsid w:val="004A77F7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4A77F7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4A77F7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4A77F7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4A77F7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4A77F7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4A77F7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4A77F7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4A77F7"/>
    <w:rPr>
      <w:b w:val="1"/>
      <w:bCs w:val="1"/>
      <w:smallCaps w:val="1"/>
      <w:color w:val="0f4761" w:themeColor="accent1" w:themeShade="0000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 w:val="1"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2C793B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1.xml"/><Relationship Id="rId10" Type="http://schemas.openxmlformats.org/officeDocument/2006/relationships/header" Target="header1.xml"/><Relationship Id="rId12" Type="http://schemas.openxmlformats.org/officeDocument/2006/relationships/footer" Target="footer2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YI9s5/1ZX1sEasOJfABqlcdBHg==">CgMxLjAyDmgubm04aWZvcGJ5cTh0OAByITFsVWY3bmxaTHdQdEk0cWJPVWFDMFJuM0FxMTh5dk1uaQ==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2025-04-21T17:28:00Z</dcterms:created>
  <dc:creator>William Fernando Cambara Cortez</dc:creator>
</cp:coreProperties>
</file>